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Business Coalition for a Global Plastics Treaty</w:t>
      </w:r>
    </w:p>
    <w:p w:rsidR="00000000" w:rsidDel="00000000" w:rsidP="00000000" w:rsidRDefault="00000000" w:rsidRPr="00000000" w14:paraId="00000002">
      <w:pPr>
        <w:rPr>
          <w:b w:val="1"/>
        </w:rPr>
      </w:pPr>
      <w:r w:rsidDel="00000000" w:rsidR="00000000" w:rsidRPr="00000000">
        <w:rPr>
          <w:b w:val="1"/>
          <w:rtl w:val="0"/>
        </w:rPr>
        <w:t xml:space="preserve">Statement for Contact Group 1 - Extended Producer Responsibility</w:t>
      </w:r>
    </w:p>
    <w:p w:rsidR="00000000" w:rsidDel="00000000" w:rsidP="00000000" w:rsidRDefault="00000000" w:rsidRPr="00000000" w14:paraId="00000003">
      <w:pPr>
        <w:rPr>
          <w:b w:val="1"/>
        </w:rPr>
      </w:pPr>
      <w:r w:rsidDel="00000000" w:rsidR="00000000" w:rsidRPr="00000000">
        <w:rPr>
          <w:b w:val="1"/>
          <w:rtl w:val="0"/>
        </w:rPr>
        <w:t xml:space="preserve">16th november 2023</w:t>
      </w:r>
    </w:p>
    <w:p w:rsidR="00000000" w:rsidDel="00000000" w:rsidP="00000000" w:rsidRDefault="00000000" w:rsidRPr="00000000" w14:paraId="00000004">
      <w:pPr>
        <w:rPr>
          <w:b w:val="1"/>
        </w:rPr>
      </w:pPr>
      <w:r w:rsidDel="00000000" w:rsidR="00000000" w:rsidRPr="00000000">
        <w:rPr>
          <w:b w:val="1"/>
          <w:rtl w:val="0"/>
        </w:rPr>
        <w:t xml:space="preserve">Nairobi, Kenya</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Thank you very much for the opportunity to speak.</w:t>
        <w:br w:type="textWrapping"/>
      </w:r>
    </w:p>
    <w:p w:rsidR="00000000" w:rsidDel="00000000" w:rsidP="00000000" w:rsidRDefault="00000000" w:rsidRPr="00000000" w14:paraId="00000007">
      <w:pPr>
        <w:rPr/>
      </w:pPr>
      <w:r w:rsidDel="00000000" w:rsidR="00000000" w:rsidRPr="00000000">
        <w:rPr>
          <w:rtl w:val="0"/>
        </w:rPr>
        <w:t xml:space="preserve">My name is Clemence Schmid from the Terracycle Global Foundation, and I speak on behalf of the Business Coalition for a Global Plastics Treaty.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This intervention will focus on Extended Producer Responsibility and the link with provisions on product design and reuse policies in part II.5.a and b.</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Business Coalition strongly supports a core obligation in the Treaty to establish </w:t>
      </w:r>
      <w:r w:rsidDel="00000000" w:rsidR="00000000" w:rsidRPr="00000000">
        <w:rPr>
          <w:b w:val="1"/>
          <w:rtl w:val="0"/>
        </w:rPr>
        <w:t xml:space="preserve">mandatory, well designed and fee-based Extended Producer Responsibility</w:t>
      </w:r>
      <w:r w:rsidDel="00000000" w:rsidR="00000000" w:rsidRPr="00000000">
        <w:rPr>
          <w:rtl w:val="0"/>
        </w:rPr>
        <w:t xml:space="preserve"> systems. EPR systems should require all companies who introduce certain products or product groups into a country’s market to be </w:t>
      </w:r>
      <w:r w:rsidDel="00000000" w:rsidR="00000000" w:rsidRPr="00000000">
        <w:rPr>
          <w:b w:val="1"/>
          <w:rtl w:val="0"/>
        </w:rPr>
        <w:t xml:space="preserve">responsible for- participate in the management of- and provide funding dedicated to-</w:t>
      </w:r>
      <w:r w:rsidDel="00000000" w:rsidR="00000000" w:rsidRPr="00000000">
        <w:rPr>
          <w:rtl w:val="0"/>
        </w:rPr>
        <w:t xml:space="preserve"> their after-use collection and processing.  </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This obligation should be based on </w:t>
      </w:r>
      <w:r w:rsidDel="00000000" w:rsidR="00000000" w:rsidRPr="00000000">
        <w:rPr>
          <w:rtl w:val="0"/>
        </w:rPr>
        <w:t xml:space="preserve">key principles and minimum requirements, where relevant, on a sectoral basis, to be spelled out in an annex to the treaty. The same annex should contain an initial list of products or product groups for which EPR systems should be set up and improved over time.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This will counter the current patchwork of different regulatory approaches on EPR across global value chains, which is hampering private investments in collection, reuse, recycling and waste management systems. In this regard, we propose to merge text from options 1 and 2.</w:t>
      </w:r>
    </w:p>
    <w:p w:rsidR="00000000" w:rsidDel="00000000" w:rsidP="00000000" w:rsidRDefault="00000000" w:rsidRPr="00000000" w14:paraId="00000010">
      <w:pPr>
        <w:rPr/>
      </w:pPr>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t xml:space="preserve">We also suggest that the text in paragraph 1, is modified so that EPR systems are set up to, quote ‘</w:t>
      </w:r>
      <w:r w:rsidDel="00000000" w:rsidR="00000000" w:rsidRPr="00000000">
        <w:rPr>
          <w:b w:val="1"/>
          <w:rtl w:val="0"/>
        </w:rPr>
        <w:t xml:space="preserve">promote better design of products, incentivize reuse, refill and the reduction of plastic use and waste generation, increase recyclability, promote higher collection and recycling rates,</w:t>
      </w:r>
      <w:r w:rsidDel="00000000" w:rsidR="00000000" w:rsidRPr="00000000">
        <w:rPr>
          <w:rtl w:val="0"/>
        </w:rPr>
        <w:t xml:space="preserve">” unquote.</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EPR provides an important link with the treaty provisions on product design and the corresponding waste management systems that need to process the products placed on the market after their use phase.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EPR can also complement the treaty provisions on </w:t>
      </w:r>
      <w:r w:rsidDel="00000000" w:rsidR="00000000" w:rsidRPr="00000000">
        <w:rPr>
          <w:rtl w:val="0"/>
        </w:rPr>
        <w:t xml:space="preserve">reuse</w:t>
      </w:r>
      <w:r w:rsidDel="00000000" w:rsidR="00000000" w:rsidRPr="00000000">
        <w:rPr>
          <w:rtl w:val="0"/>
        </w:rPr>
        <w:t xml:space="preserve"> to create economic incentives and to scale effective</w:t>
      </w:r>
      <w:r w:rsidDel="00000000" w:rsidR="00000000" w:rsidRPr="00000000">
        <w:rPr>
          <w:rtl w:val="0"/>
        </w:rPr>
        <w:t xml:space="preserve"> take-back schemes, for example by introducing deposit refund systems. </w:t>
      </w:r>
    </w:p>
    <w:p w:rsidR="00000000" w:rsidDel="00000000" w:rsidP="00000000" w:rsidRDefault="00000000" w:rsidRPr="00000000" w14:paraId="00000016">
      <w:pPr>
        <w:rPr>
          <w:rFonts w:ascii="Roboto" w:cs="Roboto" w:eastAsia="Roboto" w:hAnsi="Roboto"/>
          <w:color w:val="444746"/>
          <w:sz w:val="21"/>
          <w:szCs w:val="21"/>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Finally, just as we do for product design and reuse policies, the Business Coalition supports intersessional work on EPR, and we would be happy to contribute to these discussions as helpful. Thank you for your consideration.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